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095"/>
        <w:gridCol w:w="5387"/>
      </w:tblGrid>
      <w:tr w:rsidR="00E16DAD" w:rsidRPr="00B866E9" w:rsidTr="00C7775E">
        <w:tc>
          <w:tcPr>
            <w:tcW w:w="10482" w:type="dxa"/>
            <w:gridSpan w:val="2"/>
            <w:tcBorders>
              <w:bottom w:val="nil"/>
            </w:tcBorders>
          </w:tcPr>
          <w:p w:rsidR="00E16DAD" w:rsidRPr="00B866E9" w:rsidRDefault="00E16DAD" w:rsidP="00C7775E">
            <w:pPr>
              <w:jc w:val="center"/>
            </w:pPr>
            <w:r w:rsidRPr="00B866E9">
              <w:t>Mateřská škola Rokycany, U Saské brány, příspěvková organizace</w:t>
            </w:r>
          </w:p>
          <w:p w:rsidR="00E16DAD" w:rsidRPr="00B866E9" w:rsidRDefault="00E16DAD" w:rsidP="00C7775E">
            <w:pPr>
              <w:jc w:val="center"/>
            </w:pPr>
            <w:r w:rsidRPr="00B866E9">
              <w:t>se sídlem Třebízského 224, 337 01 Rokycany</w:t>
            </w:r>
          </w:p>
        </w:tc>
      </w:tr>
      <w:tr w:rsidR="00E16DAD" w:rsidRPr="00B866E9" w:rsidTr="00C7775E">
        <w:trPr>
          <w:cantSplit/>
        </w:trPr>
        <w:tc>
          <w:tcPr>
            <w:tcW w:w="10482" w:type="dxa"/>
            <w:gridSpan w:val="2"/>
          </w:tcPr>
          <w:p w:rsidR="00E16DAD" w:rsidRPr="00D74CF3" w:rsidRDefault="00E16DAD" w:rsidP="00C7775E">
            <w:pPr>
              <w:jc w:val="center"/>
              <w:rPr>
                <w:b/>
                <w:sz w:val="28"/>
                <w:szCs w:val="28"/>
              </w:rPr>
            </w:pPr>
            <w:r w:rsidRPr="00D74CF3">
              <w:rPr>
                <w:b/>
                <w:caps/>
                <w:sz w:val="28"/>
                <w:szCs w:val="28"/>
              </w:rPr>
              <w:t>20.</w:t>
            </w:r>
            <w:r w:rsidRPr="00B866E9">
              <w:rPr>
                <w:b/>
                <w:caps/>
              </w:rPr>
              <w:t xml:space="preserve">  </w:t>
            </w:r>
            <w:r w:rsidRPr="00D74CF3">
              <w:rPr>
                <w:b/>
                <w:sz w:val="28"/>
                <w:szCs w:val="28"/>
              </w:rPr>
              <w:t>KRITÉRIA  PRO  PŘIJÍMÁNÍ  DĚTÍ</w:t>
            </w:r>
          </w:p>
          <w:p w:rsidR="00E16DAD" w:rsidRPr="00D74CF3" w:rsidRDefault="00E16DAD" w:rsidP="00C7775E">
            <w:pPr>
              <w:jc w:val="center"/>
              <w:rPr>
                <w:b/>
                <w:sz w:val="28"/>
                <w:szCs w:val="28"/>
              </w:rPr>
            </w:pPr>
            <w:r w:rsidRPr="00D74CF3">
              <w:rPr>
                <w:b/>
                <w:sz w:val="28"/>
                <w:szCs w:val="28"/>
              </w:rPr>
              <w:t>k předškolnímu vzdělávání v mateřské škole</w:t>
            </w:r>
          </w:p>
        </w:tc>
      </w:tr>
      <w:tr w:rsidR="00E16DAD" w:rsidRPr="00B866E9" w:rsidTr="00C7775E">
        <w:tc>
          <w:tcPr>
            <w:tcW w:w="5095" w:type="dxa"/>
          </w:tcPr>
          <w:p w:rsidR="00E16DAD" w:rsidRPr="00B866E9" w:rsidRDefault="00E16DAD" w:rsidP="00C7775E">
            <w:pPr>
              <w:spacing w:before="120" w:line="240" w:lineRule="atLeast"/>
            </w:pPr>
            <w:proofErr w:type="gramStart"/>
            <w:r w:rsidRPr="00B866E9">
              <w:t>Č.j.</w:t>
            </w:r>
            <w:proofErr w:type="gramEnd"/>
            <w:r w:rsidRPr="00B866E9">
              <w:t>:            Spisový / skartační znak</w:t>
            </w:r>
          </w:p>
        </w:tc>
        <w:tc>
          <w:tcPr>
            <w:tcW w:w="5387" w:type="dxa"/>
          </w:tcPr>
          <w:p w:rsidR="00E16DAD" w:rsidRPr="00B866E9" w:rsidRDefault="006A4A16" w:rsidP="006A4A16">
            <w:pPr>
              <w:spacing w:before="120" w:line="240" w:lineRule="atLeast"/>
              <w:jc w:val="center"/>
            </w:pPr>
            <w:r>
              <w:t xml:space="preserve">MSSA </w:t>
            </w:r>
            <w:r w:rsidRPr="006A4A16">
              <w:t>28</w:t>
            </w:r>
            <w:r w:rsidR="00E16DAD" w:rsidRPr="006A4A16">
              <w:t>/202</w:t>
            </w:r>
            <w:r w:rsidR="006B24C2" w:rsidRPr="006A4A16">
              <w:t>6</w:t>
            </w:r>
            <w:r w:rsidR="00E16DAD" w:rsidRPr="00B866E9">
              <w:t xml:space="preserve">          </w:t>
            </w:r>
            <w:proofErr w:type="gramStart"/>
            <w:r w:rsidR="00E16DAD" w:rsidRPr="00B866E9">
              <w:t>A.1.</w:t>
            </w:r>
            <w:proofErr w:type="gramEnd"/>
            <w:r w:rsidR="00E16DAD" w:rsidRPr="00B866E9">
              <w:t xml:space="preserve">       A10</w:t>
            </w:r>
          </w:p>
        </w:tc>
      </w:tr>
      <w:tr w:rsidR="00E16DAD" w:rsidRPr="00B866E9" w:rsidTr="00C7775E">
        <w:tc>
          <w:tcPr>
            <w:tcW w:w="5095" w:type="dxa"/>
          </w:tcPr>
          <w:p w:rsidR="00E16DAD" w:rsidRPr="00B866E9" w:rsidRDefault="00E16DAD" w:rsidP="00C7775E">
            <w:pPr>
              <w:spacing w:before="120" w:line="240" w:lineRule="atLeast"/>
            </w:pPr>
            <w:r w:rsidRPr="00B866E9">
              <w:t>Vypracovala:</w:t>
            </w:r>
          </w:p>
        </w:tc>
        <w:tc>
          <w:tcPr>
            <w:tcW w:w="5387" w:type="dxa"/>
          </w:tcPr>
          <w:p w:rsidR="00E16DAD" w:rsidRPr="00B866E9" w:rsidRDefault="00E16DAD" w:rsidP="00C7775E">
            <w:pPr>
              <w:spacing w:before="120" w:line="240" w:lineRule="atLeast"/>
              <w:jc w:val="center"/>
            </w:pPr>
            <w:proofErr w:type="spellStart"/>
            <w:r w:rsidRPr="00B866E9">
              <w:t>Mgr.,Bc</w:t>
            </w:r>
            <w:proofErr w:type="spellEnd"/>
            <w:r w:rsidRPr="00B866E9">
              <w:t>. Věra Zagorová, ředitelka školy</w:t>
            </w:r>
          </w:p>
        </w:tc>
      </w:tr>
      <w:tr w:rsidR="00E16DAD" w:rsidRPr="00B866E9" w:rsidTr="00C7775E">
        <w:tc>
          <w:tcPr>
            <w:tcW w:w="5095" w:type="dxa"/>
          </w:tcPr>
          <w:p w:rsidR="00E16DAD" w:rsidRPr="00B866E9" w:rsidRDefault="00E16DAD" w:rsidP="00C7775E">
            <w:pPr>
              <w:spacing w:before="120" w:line="240" w:lineRule="atLeast"/>
            </w:pPr>
            <w:r w:rsidRPr="00B866E9">
              <w:t>Schválila:</w:t>
            </w:r>
          </w:p>
        </w:tc>
        <w:tc>
          <w:tcPr>
            <w:tcW w:w="5387" w:type="dxa"/>
          </w:tcPr>
          <w:p w:rsidR="00E16DAD" w:rsidRPr="00B866E9" w:rsidRDefault="00E16DAD" w:rsidP="00C7775E">
            <w:pPr>
              <w:spacing w:before="120" w:line="240" w:lineRule="atLeast"/>
              <w:jc w:val="center"/>
            </w:pPr>
            <w:proofErr w:type="spellStart"/>
            <w:r w:rsidRPr="00B866E9">
              <w:t>Mgr.,Bc</w:t>
            </w:r>
            <w:proofErr w:type="spellEnd"/>
            <w:r w:rsidRPr="00B866E9">
              <w:t>. Věra Zagorová, ředitelka školy</w:t>
            </w:r>
          </w:p>
        </w:tc>
      </w:tr>
      <w:tr w:rsidR="00E16DAD" w:rsidRPr="006B24C2" w:rsidTr="00C7775E">
        <w:tc>
          <w:tcPr>
            <w:tcW w:w="5095" w:type="dxa"/>
          </w:tcPr>
          <w:p w:rsidR="00E16DAD" w:rsidRPr="006B24C2" w:rsidRDefault="00E16DAD" w:rsidP="00C7775E">
            <w:pPr>
              <w:spacing w:before="120" w:line="240" w:lineRule="atLeast"/>
            </w:pPr>
            <w:r w:rsidRPr="006B24C2">
              <w:t>Pedagogická rada projednala dne:</w:t>
            </w:r>
          </w:p>
        </w:tc>
        <w:tc>
          <w:tcPr>
            <w:tcW w:w="5387" w:type="dxa"/>
          </w:tcPr>
          <w:p w:rsidR="00E16DAD" w:rsidRPr="006B24C2" w:rsidRDefault="00E16DAD" w:rsidP="006B24C2">
            <w:pPr>
              <w:spacing w:before="120" w:line="240" w:lineRule="atLeast"/>
              <w:jc w:val="center"/>
            </w:pPr>
            <w:r w:rsidRPr="006B24C2">
              <w:t>2</w:t>
            </w:r>
            <w:r w:rsidR="006B24C2" w:rsidRPr="006B24C2">
              <w:t>8</w:t>
            </w:r>
            <w:r w:rsidRPr="006B24C2">
              <w:t>. 1. 202</w:t>
            </w:r>
            <w:r w:rsidR="006B24C2" w:rsidRPr="006B24C2">
              <w:t>6</w:t>
            </w:r>
          </w:p>
        </w:tc>
      </w:tr>
      <w:tr w:rsidR="00E16DAD" w:rsidRPr="006B24C2" w:rsidTr="00C7775E">
        <w:tc>
          <w:tcPr>
            <w:tcW w:w="5095" w:type="dxa"/>
          </w:tcPr>
          <w:p w:rsidR="00E16DAD" w:rsidRPr="006B24C2" w:rsidRDefault="00E16DAD" w:rsidP="00C7775E">
            <w:pPr>
              <w:spacing w:before="120" w:line="240" w:lineRule="atLeast"/>
            </w:pPr>
            <w:r w:rsidRPr="006B24C2">
              <w:t>Směrnice nabývá platnosti dne:</w:t>
            </w:r>
          </w:p>
        </w:tc>
        <w:tc>
          <w:tcPr>
            <w:tcW w:w="5387" w:type="dxa"/>
          </w:tcPr>
          <w:p w:rsidR="00E16DAD" w:rsidRPr="006B24C2" w:rsidRDefault="00E16DAD" w:rsidP="006B24C2">
            <w:pPr>
              <w:spacing w:before="120" w:line="240" w:lineRule="atLeast"/>
              <w:jc w:val="center"/>
            </w:pPr>
            <w:r w:rsidRPr="006B24C2">
              <w:t>2</w:t>
            </w:r>
            <w:r w:rsidR="006B24C2" w:rsidRPr="006B24C2">
              <w:t>8</w:t>
            </w:r>
            <w:r w:rsidRPr="006B24C2">
              <w:t>. 1. 202</w:t>
            </w:r>
            <w:r w:rsidR="006B24C2" w:rsidRPr="006B24C2">
              <w:t>6</w:t>
            </w:r>
          </w:p>
        </w:tc>
      </w:tr>
      <w:tr w:rsidR="00E16DAD" w:rsidRPr="006B24C2" w:rsidTr="00C7775E">
        <w:tc>
          <w:tcPr>
            <w:tcW w:w="5095" w:type="dxa"/>
          </w:tcPr>
          <w:p w:rsidR="00E16DAD" w:rsidRPr="006B24C2" w:rsidRDefault="00E16DAD" w:rsidP="00C7775E">
            <w:pPr>
              <w:spacing w:before="120" w:line="240" w:lineRule="atLeast"/>
            </w:pPr>
            <w:r w:rsidRPr="006B24C2">
              <w:t>Směrnice nabývá účinnosti dne:</w:t>
            </w:r>
          </w:p>
        </w:tc>
        <w:tc>
          <w:tcPr>
            <w:tcW w:w="5387" w:type="dxa"/>
          </w:tcPr>
          <w:p w:rsidR="00E16DAD" w:rsidRPr="006B24C2" w:rsidRDefault="00E16DAD" w:rsidP="006B24C2">
            <w:pPr>
              <w:spacing w:before="120" w:line="240" w:lineRule="atLeast"/>
              <w:jc w:val="center"/>
            </w:pPr>
            <w:r w:rsidRPr="006B24C2">
              <w:t xml:space="preserve">1. </w:t>
            </w:r>
            <w:r w:rsidR="006B24C2" w:rsidRPr="006B24C2">
              <w:t>3</w:t>
            </w:r>
            <w:r w:rsidRPr="006B24C2">
              <w:t>. 202</w:t>
            </w:r>
            <w:r w:rsidR="006B24C2" w:rsidRPr="006B24C2">
              <w:t>6</w:t>
            </w:r>
          </w:p>
        </w:tc>
        <w:bookmarkStart w:id="0" w:name="_GoBack"/>
        <w:bookmarkEnd w:id="0"/>
      </w:tr>
    </w:tbl>
    <w:p w:rsidR="00E16DAD" w:rsidRPr="00896D29" w:rsidRDefault="00E16DAD" w:rsidP="00E16DAD">
      <w:pPr>
        <w:jc w:val="both"/>
        <w:rPr>
          <w:sz w:val="20"/>
          <w:szCs w:val="20"/>
        </w:rPr>
      </w:pPr>
      <w:r w:rsidRPr="006B24C2">
        <w:rPr>
          <w:sz w:val="20"/>
          <w:szCs w:val="20"/>
        </w:rPr>
        <w:t>Ředitelka mateřské školy rozhoduje o přijetí dítěte k předškolnímu vzdělávání ve správním řízení – viz ustanov</w:t>
      </w:r>
      <w:r w:rsidRPr="00896D29">
        <w:rPr>
          <w:sz w:val="20"/>
          <w:szCs w:val="20"/>
        </w:rPr>
        <w:t>ení § 165 odst. 2 písm. b) a § 34 odst. 3 zákona č. 561/2004 Sb., o předškolním, základním, středním, vyšším odborném a jiném vzdělávání (školský zákon), ve znění pozdějších předpisů a v souladu se zákonem č. 500/2004 Sb., správní řád, ve znění pozdějších předpisů a podle  § 2 Vyhlášky o předškolním vzdělávání č. 14/2005 Sb., ve znění pozdějších předpisů.</w:t>
      </w:r>
    </w:p>
    <w:p w:rsidR="00E16DAD" w:rsidRPr="00FB3CF4" w:rsidRDefault="00E16DAD" w:rsidP="00E16DAD">
      <w:pPr>
        <w:jc w:val="both"/>
        <w:rPr>
          <w:sz w:val="16"/>
          <w:szCs w:val="16"/>
        </w:rPr>
      </w:pPr>
    </w:p>
    <w:p w:rsidR="00E16DAD" w:rsidRDefault="00E16DAD" w:rsidP="00E16DAD">
      <w:pPr>
        <w:pStyle w:val="Odstavecseseznamem"/>
        <w:numPr>
          <w:ilvl w:val="0"/>
          <w:numId w:val="1"/>
        </w:numPr>
        <w:ind w:left="0" w:hanging="284"/>
        <w:jc w:val="both"/>
      </w:pPr>
      <w:r>
        <w:t xml:space="preserve">Předškolní vzdělávání se organizuje pro děti ve věku zpravidla od 3 do 6 let, </w:t>
      </w:r>
      <w:r w:rsidRPr="003D4718">
        <w:rPr>
          <w:b/>
        </w:rPr>
        <w:t>nejdříve však pro děti od 2 let.</w:t>
      </w:r>
    </w:p>
    <w:p w:rsidR="00E16DAD" w:rsidRDefault="00E16DAD" w:rsidP="00E16DAD">
      <w:pPr>
        <w:pStyle w:val="Odstavecseseznamem"/>
        <w:numPr>
          <w:ilvl w:val="0"/>
          <w:numId w:val="1"/>
        </w:numPr>
        <w:ind w:left="0" w:hanging="284"/>
        <w:jc w:val="both"/>
      </w:pPr>
      <w:r>
        <w:t xml:space="preserve">O zařazení dítěte se zdravotním postižením rozhoduje ředitelka školy. V případě přijetí zajistí ředitelka školy tomuto dítěti péči ve spolupráci se speciálním pedagogem podle převládajícího druhu postižení. </w:t>
      </w:r>
    </w:p>
    <w:p w:rsidR="00E16DAD" w:rsidRDefault="00E16DAD" w:rsidP="00E16DAD">
      <w:pPr>
        <w:pStyle w:val="Odstavecseseznamem"/>
        <w:numPr>
          <w:ilvl w:val="0"/>
          <w:numId w:val="1"/>
        </w:numPr>
        <w:ind w:left="0" w:hanging="284"/>
        <w:jc w:val="both"/>
      </w:pPr>
      <w:r>
        <w:t>Při přijímání dětí k předškolnímu vzdělávání budou dodrženy podmínky stanovené zvláštním právním předpisem (ustanovení § 34 odst. 5 zákona č. 561/2004 Sb., školský zákon, v platném znění a § 50 zákona č. 258/2000 Sb., o ochraně veřejného zdraví, v platném znění, podle něhož může mateřská škola přijmout pouze dítě, které se podrobilo stanoveným pravidelným očkováním, má doklad, že je proti nákaze imunní nebo se nemůže očkování podrobit pro trvalou kontraindikaci, s výjimkou dětí, pro které je předškolní vzdělávání povinné).</w:t>
      </w:r>
    </w:p>
    <w:p w:rsidR="00E16DAD" w:rsidRPr="00FB3CF4" w:rsidRDefault="00E16DAD" w:rsidP="00E16DAD">
      <w:pPr>
        <w:jc w:val="both"/>
        <w:rPr>
          <w:sz w:val="16"/>
          <w:szCs w:val="16"/>
        </w:rPr>
      </w:pPr>
    </w:p>
    <w:p w:rsidR="00E16DAD" w:rsidRDefault="00E16DAD" w:rsidP="00E16DAD">
      <w:pPr>
        <w:jc w:val="both"/>
      </w:pPr>
      <w:r>
        <w:t xml:space="preserve">Ředitelka mateřské školy stanovila následující kritéria, podle nichž bude postupovat při rozhodování o přijetí dítěte k předškolnímu vzdělávání v případech, kdy počet žádostí o přijetí podaných zákonnými zástupci dětí překročí stanovenou kapacitu maximálního počtu dětí v  Mateřské škole Rokycany, U Saské brány. Ředitelka školy stanovuje při rozhodování bodové hodnocení. </w:t>
      </w:r>
      <w:r w:rsidRPr="000C18B9">
        <w:rPr>
          <w:b/>
        </w:rPr>
        <w:t>V jednotlivých kritériích budou děti řazeny podle věku sestupně.</w:t>
      </w:r>
      <w:r>
        <w:t xml:space="preserve"> V případě shodného data narození budou děti seřazeny abecedně podle příjmení.</w:t>
      </w:r>
    </w:p>
    <w:p w:rsidR="00E16DAD" w:rsidRDefault="00E16DAD" w:rsidP="00E16DAD">
      <w:pPr>
        <w:jc w:val="both"/>
      </w:pPr>
    </w:p>
    <w:tbl>
      <w:tblPr>
        <w:tblStyle w:val="Mkatabulky"/>
        <w:tblW w:w="10490" w:type="dxa"/>
        <w:tblInd w:w="-5" w:type="dxa"/>
        <w:tblLayout w:type="fixed"/>
        <w:tblLook w:val="04A0" w:firstRow="1" w:lastRow="0" w:firstColumn="1" w:lastColumn="0" w:noHBand="0" w:noVBand="1"/>
      </w:tblPr>
      <w:tblGrid>
        <w:gridCol w:w="1269"/>
        <w:gridCol w:w="7803"/>
        <w:gridCol w:w="1418"/>
      </w:tblGrid>
      <w:tr w:rsidR="00E16DAD" w:rsidTr="00C7775E">
        <w:tc>
          <w:tcPr>
            <w:tcW w:w="1269" w:type="dxa"/>
          </w:tcPr>
          <w:p w:rsidR="00E16DAD" w:rsidRDefault="00E16DAD" w:rsidP="00C7775E">
            <w:pPr>
              <w:jc w:val="both"/>
            </w:pPr>
            <w:r>
              <w:rPr>
                <w:b/>
              </w:rPr>
              <w:t xml:space="preserve">Kritérium </w:t>
            </w:r>
          </w:p>
        </w:tc>
        <w:tc>
          <w:tcPr>
            <w:tcW w:w="7803" w:type="dxa"/>
          </w:tcPr>
          <w:p w:rsidR="00E16DAD" w:rsidRPr="00573B90" w:rsidRDefault="00E16DAD" w:rsidP="00C7775E">
            <w:pPr>
              <w:jc w:val="both"/>
              <w:rPr>
                <w:b/>
              </w:rPr>
            </w:pPr>
            <w:r w:rsidRPr="00573B90">
              <w:rPr>
                <w:b/>
              </w:rPr>
              <w:t xml:space="preserve">Popis: </w:t>
            </w:r>
          </w:p>
        </w:tc>
        <w:tc>
          <w:tcPr>
            <w:tcW w:w="1418" w:type="dxa"/>
          </w:tcPr>
          <w:p w:rsidR="00E16DAD" w:rsidRDefault="00E16DAD" w:rsidP="00C7775E">
            <w:pPr>
              <w:jc w:val="both"/>
              <w:rPr>
                <w:b/>
              </w:rPr>
            </w:pPr>
            <w:r>
              <w:rPr>
                <w:b/>
              </w:rPr>
              <w:t xml:space="preserve">Bodové </w:t>
            </w:r>
          </w:p>
          <w:p w:rsidR="00E16DAD" w:rsidRDefault="00E16DAD" w:rsidP="00C7775E">
            <w:pPr>
              <w:jc w:val="both"/>
              <w:rPr>
                <w:b/>
              </w:rPr>
            </w:pPr>
            <w:r>
              <w:rPr>
                <w:b/>
              </w:rPr>
              <w:t>ohodnocení</w:t>
            </w:r>
          </w:p>
        </w:tc>
      </w:tr>
      <w:tr w:rsidR="00E16DAD" w:rsidTr="00C7775E">
        <w:trPr>
          <w:trHeight w:val="859"/>
        </w:trPr>
        <w:tc>
          <w:tcPr>
            <w:tcW w:w="1269" w:type="dxa"/>
          </w:tcPr>
          <w:p w:rsidR="00E16DAD" w:rsidRDefault="00E16DAD" w:rsidP="00C7775E">
            <w:pPr>
              <w:jc w:val="both"/>
            </w:pPr>
            <w:r>
              <w:rPr>
                <w:b/>
              </w:rPr>
              <w:t>1</w:t>
            </w:r>
          </w:p>
          <w:p w:rsidR="00E16DAD" w:rsidRDefault="00E16DAD" w:rsidP="00C7775E">
            <w:pPr>
              <w:jc w:val="both"/>
            </w:pPr>
          </w:p>
        </w:tc>
        <w:tc>
          <w:tcPr>
            <w:tcW w:w="7803" w:type="dxa"/>
          </w:tcPr>
          <w:p w:rsidR="00E16DAD" w:rsidRPr="00D74CF3" w:rsidRDefault="00E16DAD" w:rsidP="00E16DAD">
            <w:r>
              <w:t>Děti s místem</w:t>
            </w:r>
            <w:r>
              <w:rPr>
                <w:b/>
              </w:rPr>
              <w:t xml:space="preserve"> </w:t>
            </w:r>
            <w:r>
              <w:t xml:space="preserve">trvalého pobytu </w:t>
            </w:r>
            <w:r w:rsidRPr="00D74CF3">
              <w:rPr>
                <w:b/>
              </w:rPr>
              <w:t>v Rokycanech,</w:t>
            </w:r>
            <w:r>
              <w:rPr>
                <w:b/>
              </w:rPr>
              <w:t xml:space="preserve"> školský obvod Mateřské školy</w:t>
            </w:r>
            <w:r>
              <w:t xml:space="preserve"> Rokycany, U Saské brány. (Podle </w:t>
            </w:r>
            <w:r w:rsidRPr="00573B90">
              <w:t xml:space="preserve">věku od nejstarších </w:t>
            </w:r>
            <w:r>
              <w:t xml:space="preserve">dětí </w:t>
            </w:r>
            <w:r w:rsidRPr="00573B90">
              <w:t xml:space="preserve">po </w:t>
            </w:r>
            <w:r>
              <w:t>ty</w:t>
            </w:r>
            <w:r w:rsidRPr="00573B90">
              <w:t xml:space="preserve">, které dosáhnou věku 3 let </w:t>
            </w:r>
            <w:r>
              <w:t>do 31. 12. 2026.)</w:t>
            </w:r>
          </w:p>
        </w:tc>
        <w:tc>
          <w:tcPr>
            <w:tcW w:w="1418" w:type="dxa"/>
          </w:tcPr>
          <w:p w:rsidR="00E16DAD" w:rsidRDefault="00E16DAD" w:rsidP="00C7775E">
            <w:pPr>
              <w:jc w:val="both"/>
            </w:pPr>
            <w:r>
              <w:rPr>
                <w:b/>
              </w:rPr>
              <w:t>10</w:t>
            </w:r>
          </w:p>
          <w:p w:rsidR="00E16DAD" w:rsidRDefault="00E16DAD" w:rsidP="00C7775E">
            <w:pPr>
              <w:jc w:val="both"/>
            </w:pPr>
          </w:p>
        </w:tc>
      </w:tr>
      <w:tr w:rsidR="00E16DAD" w:rsidRPr="00573B90" w:rsidTr="00C7775E">
        <w:tc>
          <w:tcPr>
            <w:tcW w:w="1269" w:type="dxa"/>
          </w:tcPr>
          <w:p w:rsidR="00E16DAD" w:rsidRPr="00D74CF3" w:rsidRDefault="00E16DAD" w:rsidP="00C7775E">
            <w:pPr>
              <w:jc w:val="both"/>
              <w:rPr>
                <w:b/>
              </w:rPr>
            </w:pPr>
            <w:r>
              <w:rPr>
                <w:b/>
              </w:rPr>
              <w:t>2</w:t>
            </w:r>
          </w:p>
        </w:tc>
        <w:tc>
          <w:tcPr>
            <w:tcW w:w="7803" w:type="dxa"/>
          </w:tcPr>
          <w:p w:rsidR="00E16DAD" w:rsidRPr="00573B90" w:rsidRDefault="00E16DAD" w:rsidP="00E16DAD">
            <w:pPr>
              <w:jc w:val="both"/>
            </w:pPr>
            <w:r>
              <w:t xml:space="preserve">Děti s místem trvalého pobytu </w:t>
            </w:r>
            <w:r w:rsidRPr="00EC12AB">
              <w:rPr>
                <w:b/>
              </w:rPr>
              <w:t xml:space="preserve">v Rokycanech, </w:t>
            </w:r>
            <w:r>
              <w:rPr>
                <w:b/>
              </w:rPr>
              <w:t>mimo školský obvod Mateřské školy</w:t>
            </w:r>
            <w:r>
              <w:t xml:space="preserve"> Rokycany, U Saské brány. (</w:t>
            </w:r>
            <w:r w:rsidRPr="00573B90">
              <w:t xml:space="preserve">Podle věku od nejstarších </w:t>
            </w:r>
            <w:r>
              <w:t xml:space="preserve">dětí </w:t>
            </w:r>
            <w:r w:rsidRPr="00573B90">
              <w:t xml:space="preserve">po </w:t>
            </w:r>
            <w:r>
              <w:t>ty</w:t>
            </w:r>
            <w:r w:rsidRPr="00573B90">
              <w:t xml:space="preserve">, které dosáhnou věku 3 let </w:t>
            </w:r>
            <w:r>
              <w:t>do 31. 12. 2026.)</w:t>
            </w:r>
          </w:p>
        </w:tc>
        <w:tc>
          <w:tcPr>
            <w:tcW w:w="1418" w:type="dxa"/>
          </w:tcPr>
          <w:p w:rsidR="00E16DAD" w:rsidRPr="00573B90" w:rsidRDefault="00E16DAD" w:rsidP="00C7775E">
            <w:pPr>
              <w:jc w:val="both"/>
              <w:rPr>
                <w:b/>
              </w:rPr>
            </w:pPr>
            <w:r>
              <w:rPr>
                <w:b/>
              </w:rPr>
              <w:t>9</w:t>
            </w:r>
          </w:p>
        </w:tc>
      </w:tr>
      <w:tr w:rsidR="00E16DAD" w:rsidRPr="00573B90" w:rsidTr="00C7775E">
        <w:trPr>
          <w:trHeight w:val="562"/>
        </w:trPr>
        <w:tc>
          <w:tcPr>
            <w:tcW w:w="1269" w:type="dxa"/>
          </w:tcPr>
          <w:p w:rsidR="00E16DAD" w:rsidRPr="00D74CF3" w:rsidRDefault="00E16DAD" w:rsidP="00C7775E">
            <w:pPr>
              <w:jc w:val="both"/>
              <w:rPr>
                <w:b/>
              </w:rPr>
            </w:pPr>
            <w:r>
              <w:rPr>
                <w:b/>
              </w:rPr>
              <w:t>3</w:t>
            </w:r>
          </w:p>
        </w:tc>
        <w:tc>
          <w:tcPr>
            <w:tcW w:w="7803" w:type="dxa"/>
          </w:tcPr>
          <w:p w:rsidR="00E16DAD" w:rsidRPr="000C18B9" w:rsidRDefault="00E16DAD" w:rsidP="00C7775E">
            <w:pPr>
              <w:autoSpaceDE w:val="0"/>
              <w:autoSpaceDN w:val="0"/>
              <w:adjustRightInd w:val="0"/>
            </w:pPr>
            <w:r>
              <w:t>Všechny ostatní děti v pořadí od nejstarších po nejmladší do počtu volné kapacity školy.</w:t>
            </w:r>
          </w:p>
        </w:tc>
        <w:tc>
          <w:tcPr>
            <w:tcW w:w="1418" w:type="dxa"/>
          </w:tcPr>
          <w:p w:rsidR="00E16DAD" w:rsidRPr="00573B90" w:rsidRDefault="00E16DAD" w:rsidP="00C7775E">
            <w:pPr>
              <w:jc w:val="both"/>
              <w:rPr>
                <w:b/>
              </w:rPr>
            </w:pPr>
            <w:r>
              <w:rPr>
                <w:b/>
              </w:rPr>
              <w:t>8</w:t>
            </w:r>
          </w:p>
        </w:tc>
      </w:tr>
    </w:tbl>
    <w:p w:rsidR="00E16DAD" w:rsidRPr="00896D29" w:rsidRDefault="00E16DAD" w:rsidP="00E16DAD">
      <w:pPr>
        <w:jc w:val="both"/>
        <w:rPr>
          <w:sz w:val="20"/>
          <w:szCs w:val="20"/>
        </w:rPr>
      </w:pPr>
      <w:r w:rsidRPr="00896D29">
        <w:rPr>
          <w:sz w:val="20"/>
          <w:szCs w:val="20"/>
        </w:rPr>
        <w:t>* Up</w:t>
      </w:r>
      <w:r w:rsidRPr="00896D29">
        <w:rPr>
          <w:rFonts w:eastAsia="TimesNewRoman"/>
          <w:sz w:val="20"/>
          <w:szCs w:val="20"/>
        </w:rPr>
        <w:t>ř</w:t>
      </w:r>
      <w:r w:rsidRPr="00896D29">
        <w:rPr>
          <w:sz w:val="20"/>
          <w:szCs w:val="20"/>
        </w:rPr>
        <w:t>ednostn</w:t>
      </w:r>
      <w:r w:rsidRPr="00896D29">
        <w:rPr>
          <w:rFonts w:eastAsia="TimesNewRoman"/>
          <w:sz w:val="20"/>
          <w:szCs w:val="20"/>
        </w:rPr>
        <w:t>ě</w:t>
      </w:r>
      <w:r w:rsidRPr="00896D29">
        <w:rPr>
          <w:sz w:val="20"/>
          <w:szCs w:val="20"/>
        </w:rPr>
        <w:t>ní se týká též d</w:t>
      </w:r>
      <w:r w:rsidRPr="00896D29">
        <w:rPr>
          <w:rFonts w:eastAsia="TimesNewRoman"/>
          <w:sz w:val="20"/>
          <w:szCs w:val="20"/>
        </w:rPr>
        <w:t>ě</w:t>
      </w:r>
      <w:r w:rsidRPr="00896D29">
        <w:rPr>
          <w:sz w:val="20"/>
          <w:szCs w:val="20"/>
        </w:rPr>
        <w:t>tí ob</w:t>
      </w:r>
      <w:r w:rsidRPr="00896D29">
        <w:rPr>
          <w:rFonts w:eastAsia="TimesNewRoman"/>
          <w:sz w:val="20"/>
          <w:szCs w:val="20"/>
        </w:rPr>
        <w:t>č</w:t>
      </w:r>
      <w:r w:rsidRPr="00896D29">
        <w:rPr>
          <w:sz w:val="20"/>
          <w:szCs w:val="20"/>
        </w:rPr>
        <w:t>an</w:t>
      </w:r>
      <w:r w:rsidRPr="00896D29">
        <w:rPr>
          <w:rFonts w:eastAsia="TimesNewRoman"/>
          <w:sz w:val="20"/>
          <w:szCs w:val="20"/>
        </w:rPr>
        <w:t xml:space="preserve">ů </w:t>
      </w:r>
      <w:r w:rsidRPr="00896D29">
        <w:rPr>
          <w:sz w:val="20"/>
          <w:szCs w:val="20"/>
        </w:rPr>
        <w:t xml:space="preserve">Evropské unie </w:t>
      </w:r>
      <w:r w:rsidRPr="00896D29">
        <w:rPr>
          <w:rFonts w:eastAsia="TimesNewRoman"/>
          <w:sz w:val="20"/>
          <w:szCs w:val="20"/>
        </w:rPr>
        <w:t>č</w:t>
      </w:r>
      <w:r w:rsidRPr="00896D29">
        <w:rPr>
          <w:sz w:val="20"/>
          <w:szCs w:val="20"/>
        </w:rPr>
        <w:t>i ob</w:t>
      </w:r>
      <w:r w:rsidRPr="00896D29">
        <w:rPr>
          <w:rFonts w:eastAsia="TimesNewRoman"/>
          <w:sz w:val="20"/>
          <w:szCs w:val="20"/>
        </w:rPr>
        <w:t>č</w:t>
      </w:r>
      <w:r w:rsidRPr="00896D29">
        <w:rPr>
          <w:sz w:val="20"/>
          <w:szCs w:val="20"/>
        </w:rPr>
        <w:t>an</w:t>
      </w:r>
      <w:r w:rsidRPr="00896D29">
        <w:rPr>
          <w:rFonts w:eastAsia="TimesNewRoman"/>
          <w:sz w:val="20"/>
          <w:szCs w:val="20"/>
        </w:rPr>
        <w:t xml:space="preserve">ů </w:t>
      </w:r>
      <w:r w:rsidRPr="00896D29">
        <w:rPr>
          <w:sz w:val="20"/>
          <w:szCs w:val="20"/>
        </w:rPr>
        <w:t>t</w:t>
      </w:r>
      <w:r w:rsidRPr="00896D29">
        <w:rPr>
          <w:rFonts w:eastAsia="TimesNewRoman"/>
          <w:sz w:val="20"/>
          <w:szCs w:val="20"/>
        </w:rPr>
        <w:t>ř</w:t>
      </w:r>
      <w:r w:rsidRPr="00896D29">
        <w:rPr>
          <w:sz w:val="20"/>
          <w:szCs w:val="20"/>
        </w:rPr>
        <w:t>etích zemí, kte</w:t>
      </w:r>
      <w:r w:rsidRPr="00896D29">
        <w:rPr>
          <w:rFonts w:eastAsia="TimesNewRoman"/>
          <w:sz w:val="20"/>
          <w:szCs w:val="20"/>
        </w:rPr>
        <w:t>ř</w:t>
      </w:r>
      <w:r w:rsidRPr="00896D29">
        <w:rPr>
          <w:sz w:val="20"/>
          <w:szCs w:val="20"/>
        </w:rPr>
        <w:t xml:space="preserve">í mají hlášeno místo pobytu na území </w:t>
      </w:r>
      <w:r w:rsidRPr="00896D29">
        <w:rPr>
          <w:rFonts w:eastAsia="TimesNewRoman"/>
          <w:sz w:val="20"/>
          <w:szCs w:val="20"/>
        </w:rPr>
        <w:t>Č</w:t>
      </w:r>
      <w:r w:rsidRPr="00896D29">
        <w:rPr>
          <w:sz w:val="20"/>
          <w:szCs w:val="20"/>
        </w:rPr>
        <w:t>eské republiky ve smyslu ustanovení § 20 odst. 2 písm. d) školského zákona.</w:t>
      </w:r>
    </w:p>
    <w:p w:rsidR="00E16DAD" w:rsidRPr="00896D29" w:rsidRDefault="00E16DAD" w:rsidP="00E16DAD">
      <w:pPr>
        <w:jc w:val="both"/>
        <w:rPr>
          <w:sz w:val="20"/>
          <w:szCs w:val="20"/>
        </w:rPr>
      </w:pPr>
    </w:p>
    <w:p w:rsidR="00E16DAD" w:rsidRDefault="00E16DAD" w:rsidP="00E16DAD">
      <w:pPr>
        <w:jc w:val="both"/>
      </w:pPr>
      <w:r>
        <w:t>Ruší</w:t>
      </w:r>
      <w:r w:rsidRPr="00D679BC">
        <w:t xml:space="preserve"> se předchozí znění této směrnice č. j.:</w:t>
      </w:r>
      <w:r>
        <w:t xml:space="preserve"> </w:t>
      </w:r>
      <w:r w:rsidRPr="006A4A16">
        <w:t>MSSA/</w:t>
      </w:r>
      <w:r w:rsidR="00D1773B" w:rsidRPr="006A4A16">
        <w:t>29</w:t>
      </w:r>
      <w:r w:rsidRPr="006A4A16">
        <w:t>/2</w:t>
      </w:r>
      <w:r w:rsidR="00D1773B" w:rsidRPr="006A4A16">
        <w:t>5</w:t>
      </w:r>
      <w:r w:rsidRPr="006A4A16">
        <w:t xml:space="preserve"> ze dne 2</w:t>
      </w:r>
      <w:r w:rsidR="00D1773B" w:rsidRPr="006A4A16">
        <w:t>9</w:t>
      </w:r>
      <w:r w:rsidRPr="006A4A16">
        <w:t>. 1. 202</w:t>
      </w:r>
      <w:r w:rsidR="00D1773B" w:rsidRPr="006A4A16">
        <w:t>5</w:t>
      </w:r>
      <w:r w:rsidRPr="006A4A16">
        <w:t>.</w:t>
      </w:r>
      <w:r w:rsidRPr="00896D29">
        <w:t xml:space="preserve"> </w:t>
      </w:r>
      <w:r w:rsidRPr="00D679BC">
        <w:t xml:space="preserve">Uložení směrnice </w:t>
      </w:r>
      <w:r>
        <w:t xml:space="preserve"> </w:t>
      </w:r>
      <w:r w:rsidRPr="00D679BC">
        <w:t>v archivu školy se řídí spisovým řádem školy.</w:t>
      </w:r>
    </w:p>
    <w:p w:rsidR="00E16DAD" w:rsidRDefault="00E16DAD" w:rsidP="00E16DAD"/>
    <w:p w:rsidR="00E16DAD" w:rsidRDefault="00E16DAD" w:rsidP="00E16DAD"/>
    <w:p w:rsidR="00E16DAD" w:rsidRDefault="00E16DAD" w:rsidP="00E16DAD"/>
    <w:p w:rsidR="00E16DAD" w:rsidRDefault="00E16DAD" w:rsidP="00E16DAD"/>
    <w:p w:rsidR="00E16DAD" w:rsidRDefault="00E16DAD" w:rsidP="00E16DAD">
      <w:r>
        <w:t>V Rokycanech dne 2</w:t>
      </w:r>
      <w:r w:rsidR="006B24C2">
        <w:t>8</w:t>
      </w:r>
      <w:r>
        <w:t>. 1. 202</w:t>
      </w:r>
      <w:r w:rsidR="006B24C2">
        <w:t>6</w:t>
      </w:r>
      <w:r>
        <w:t xml:space="preserve">                                          </w:t>
      </w:r>
      <w:r>
        <w:tab/>
      </w:r>
      <w:r>
        <w:tab/>
      </w:r>
    </w:p>
    <w:p w:rsidR="00E16DAD" w:rsidRDefault="00E16DAD" w:rsidP="00E16DAD">
      <w:pPr>
        <w:ind w:left="7080" w:firstLine="708"/>
      </w:pPr>
      <w:r>
        <w:t>Mgr., Bc. Věra Zagorová</w:t>
      </w:r>
    </w:p>
    <w:p w:rsidR="006818A7" w:rsidRDefault="00E16DAD" w:rsidP="006A4A16">
      <w:pPr>
        <w:ind w:left="6372" w:firstLine="708"/>
      </w:pPr>
      <w:r>
        <w:t xml:space="preserve"> </w:t>
      </w:r>
      <w:r>
        <w:tab/>
      </w:r>
      <w:r>
        <w:tab/>
        <w:t>ředitelka MŠ</w:t>
      </w:r>
    </w:p>
    <w:sectPr w:rsidR="006818A7" w:rsidSect="001566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748AB"/>
    <w:multiLevelType w:val="hybridMultilevel"/>
    <w:tmpl w:val="2EF603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DAD"/>
    <w:rsid w:val="006818A7"/>
    <w:rsid w:val="006A4A16"/>
    <w:rsid w:val="006B24C2"/>
    <w:rsid w:val="00D1773B"/>
    <w:rsid w:val="00D460AA"/>
    <w:rsid w:val="00E16D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D01AD"/>
  <w15:chartTrackingRefBased/>
  <w15:docId w15:val="{1E09EBDD-5028-484B-A54F-5DAFE3AF5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16DA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16DAD"/>
    <w:pPr>
      <w:ind w:left="720"/>
      <w:contextualSpacing/>
    </w:pPr>
  </w:style>
  <w:style w:type="table" w:styleId="Mkatabulky">
    <w:name w:val="Table Grid"/>
    <w:basedOn w:val="Normlntabulka"/>
    <w:rsid w:val="00E16DAD"/>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479</Words>
  <Characters>2829</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zagorovav</dc:creator>
  <cp:keywords/>
  <dc:description/>
  <cp:lastModifiedBy>zagorovav</cp:lastModifiedBy>
  <cp:revision>5</cp:revision>
  <dcterms:created xsi:type="dcterms:W3CDTF">2026-02-05T11:52:00Z</dcterms:created>
  <dcterms:modified xsi:type="dcterms:W3CDTF">2026-02-23T10:24:00Z</dcterms:modified>
</cp:coreProperties>
</file>